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UNITED STATES TAX COURT</w:t>
      </w:r>
    </w:p>
    <w:p>
      <w:r>
        <w:rPr>
          <w:b w:val="0"/>
          <w:highlight w:val="yellow"/>
        </w:rPr>
        <w:t>[Petitioner name(s)]</w:t>
      </w:r>
      <w:r>
        <w:rPr>
          <w:b w:val="0"/>
        </w:rPr>
        <w:t xml:space="preserve">, Petitioner(s), v. Commissioner of Internal Revenue, Respondent.   Docket No. </w:t>
      </w:r>
      <w:r>
        <w:rPr>
          <w:b w:val="0"/>
          <w:highlight w:val="yellow"/>
        </w:rPr>
        <w:t>[Number, if assigned]</w:t>
      </w:r>
    </w:p>
    <w:p>
      <w:r>
        <w:rPr>
          <w:b/>
        </w:rPr>
        <w:t>STATEMENT IN SUPPORT OF EQUITABLE TOLLING OF THE PERIOD FOR FILING THE PETITION</w:t>
      </w:r>
      <w:r>
        <w:rPr>
          <w:b w:val="0"/>
        </w:rPr>
        <w:t xml:space="preserve"> </w:t>
      </w:r>
      <w:r>
        <w:rPr>
          <w:b w:val="0"/>
          <w:highlight w:val="yellow"/>
        </w:rPr>
        <w:t>[Delete one: (filed with the petition) / (filed in response to Respondent's Motion to Dismiss for Lack of Jurisdiction)]</w:t>
      </w:r>
    </w:p>
    <w:p>
      <w:r>
        <w:rPr>
          <w:b w:val="0"/>
        </w:rPr>
        <w:t>Petitioner states as follows:</w:t>
      </w:r>
    </w:p>
    <w:p>
      <w:pPr>
        <w:pStyle w:val="Heading3"/>
      </w:pPr>
      <w:r>
        <w:t>1. The notice and the deadline</w:t>
      </w:r>
    </w:p>
    <w:p>
      <w:r>
        <w:rPr>
          <w:b w:val="0"/>
          <w:highlight w:val="yellow"/>
        </w:rPr>
        <w:t>[VARIANT A, CDP case: On [date] the IRS Independent Office of Appeals issued a Notice of Determination Concerning Collection Actions under IRC 6320 and/or 6330 for [type of tax] for [periods]. Under IRC 6330(d)(1) the period for petitioning this Court ended on [date].]</w:t>
      </w:r>
    </w:p>
    <w:p>
      <w:r>
        <w:rPr>
          <w:b w:val="0"/>
          <w:highlight w:val="yellow"/>
        </w:rPr>
        <w:t>[VARIANT B, deficiency case: On [date] respondent mailed a notice of deficiency for [tax year(s)] by certified mail to petitioner's last known address at [address]. The notice states that the last day to file a petition is [date]. Under IRC 6213(a) the period ended on [date] (90 days, or 150 days because the notice was addressed to a person outside the United States).]</w:t>
      </w:r>
    </w:p>
    <w:p>
      <w:r>
        <w:rPr>
          <w:b w:val="0"/>
        </w:rPr>
        <w:t xml:space="preserve">A copy of the notice is attached to the petition as required by Rule </w:t>
      </w:r>
      <w:r>
        <w:rPr>
          <w:b w:val="0"/>
          <w:highlight w:val="yellow"/>
        </w:rPr>
        <w:t>[34(b)(2) / 331(b)(8)]</w:t>
      </w:r>
      <w:r>
        <w:rPr>
          <w:b w:val="0"/>
        </w:rPr>
        <w:t>.</w:t>
      </w:r>
    </w:p>
    <w:p>
      <w:pPr>
        <w:pStyle w:val="Heading3"/>
      </w:pPr>
      <w:r>
        <w:t>2. When the petition was mailed and filed</w:t>
      </w:r>
    </w:p>
    <w:p>
      <w:pPr>
        <w:pStyle w:val="ListBullet"/>
      </w:pPr>
      <w:r>
        <w:rPr>
          <w:b w:val="0"/>
        </w:rPr>
        <w:t xml:space="preserve">Method of filing: </w:t>
      </w:r>
      <w:r>
        <w:rPr>
          <w:b w:val="0"/>
          <w:highlight w:val="yellow"/>
        </w:rPr>
        <w:t>[electronically through DAWSON at [time, eastern] on [date] / by United States mail, [certified / registered] no. [number], deposited on [date] / by [designated private delivery service], shipment no. [number], on [date]]</w:t>
      </w:r>
      <w:r>
        <w:rPr>
          <w:b w:val="0"/>
        </w:rPr>
        <w:t>.</w:t>
      </w:r>
    </w:p>
    <w:p>
      <w:pPr>
        <w:pStyle w:val="ListBullet"/>
      </w:pPr>
      <w:r>
        <w:rPr>
          <w:b w:val="0"/>
        </w:rPr>
        <w:t xml:space="preserve">Postmark or delivery service date: </w:t>
      </w:r>
      <w:r>
        <w:rPr>
          <w:b w:val="0"/>
          <w:highlight w:val="yellow"/>
        </w:rPr>
        <w:t>[Date shown on the postmark, certified mail receipt or shipping record; attach it as Exhibit 1]</w:t>
      </w:r>
      <w:r>
        <w:rPr>
          <w:b w:val="0"/>
        </w:rPr>
        <w:t>.</w:t>
      </w:r>
    </w:p>
    <w:p>
      <w:pPr>
        <w:pStyle w:val="ListBullet"/>
      </w:pPr>
      <w:r>
        <w:rPr>
          <w:b w:val="0"/>
        </w:rPr>
        <w:t xml:space="preserve">Date received by the Court: </w:t>
      </w:r>
      <w:r>
        <w:rPr>
          <w:b w:val="0"/>
          <w:highlight w:val="yellow"/>
        </w:rPr>
        <w:t>[Date]</w:t>
      </w:r>
      <w:r>
        <w:rPr>
          <w:b w:val="0"/>
        </w:rPr>
        <w:t>.</w:t>
      </w:r>
    </w:p>
    <w:p>
      <w:pPr>
        <w:pStyle w:val="ListBullet"/>
      </w:pPr>
      <w:r>
        <w:rPr>
          <w:b w:val="0"/>
        </w:rPr>
        <w:t xml:space="preserve">Days late, measured from the last day to file: </w:t>
      </w:r>
      <w:r>
        <w:rPr>
          <w:b w:val="0"/>
          <w:highlight w:val="yellow"/>
        </w:rPr>
        <w:t>[Number]</w:t>
      </w:r>
      <w:r>
        <w:rPr>
          <w:b w:val="0"/>
        </w:rPr>
        <w:t>.</w:t>
      </w:r>
    </w:p>
    <w:p>
      <w:r>
        <w:rPr>
          <w:b w:val="0"/>
          <w:highlight w:val="yellow"/>
        </w:rPr>
        <w:t>[If any fact above makes the petition timely, say so first: Petitioner contends the petition was timely under IRC 7502(a) because it was postmarked on [date], within the period, and was properly addressed to the Court with postage prepaid; equitable tolling is argued in the alternative.]</w:t>
      </w:r>
    </w:p>
    <w:p>
      <w:pPr>
        <w:pStyle w:val="Heading3"/>
      </w:pPr>
      <w:r>
        <w:t>3. Why the deadline may be tolled</w:t>
      </w:r>
    </w:p>
    <w:p>
      <w:r>
        <w:rPr>
          <w:b w:val="0"/>
          <w:highlight w:val="yellow"/>
        </w:rPr>
        <w:t>[VARIANT A: In Boechler, P.C. v. Commissioner, 596 U.S. 199 (2022), the Supreme Court held that the 30-day period in IRC 6330(d)(1) is a nonjurisdictional deadline subject to equitable tolling. Petitioner asks the Court to toll the period on the facts below.]</w:t>
      </w:r>
    </w:p>
    <w:p>
      <w:r>
        <w:rPr>
          <w:b w:val="0"/>
          <w:highlight w:val="yellow"/>
        </w:rPr>
        <w:t>[VARIANT B: Petitioner's legal residence (or principal place of business) at the time the petition was filed is [city, state], so under IRC 7482(b)(1) an appeal in this case would lie to the Court of Appeals for the [Second / Third] Circuit. That court has held that the IRC 6213(a) deadline is a nonjurisdictional claim-processing rule subject to equitable tolling: Culp v. Commissioner, 75 F.4th 196 (3d Cir. 2023) / Buller v. Commissioner, No. 24-1557 (2d Cir. Aug. 14, 2025). Petitioner acknowledges Hallmark Research Collective v. Commissioner, 159 T.C. 126 (2022), and asks the Court to apply the law of the circuit of appeal.]</w:t>
      </w:r>
    </w:p>
    <w:p>
      <w:r>
        <w:rPr>
          <w:b w:val="0"/>
          <w:highlight w:val="yellow"/>
        </w:rPr>
        <w:t>[VARIANT B, other circuits: Petitioner acknowledges that this Court held in Hallmark Research Collective v. Commissioner, 159 T.C. 126 (2022), that the IRC 6213(a) deadline is jurisdictional, and that the Court of Appeals for the [number] Circuit has not decided the question. Petitioner preserves the argument that the deadline is a nonjurisdictional claim-processing rule for the reasons stated in Culp and Buller, and asks the Court to toll it on the facts below.]</w:t>
      </w:r>
    </w:p>
    <w:p>
      <w:pPr>
        <w:pStyle w:val="Heading3"/>
      </w:pPr>
      <w:r>
        <w:t>4. Diligence</w:t>
      </w:r>
    </w:p>
    <w:p>
      <w:r>
        <w:rPr>
          <w:b w:val="0"/>
        </w:rPr>
        <w:t xml:space="preserve">Petitioner pursued the right to petition this Court diligently. </w:t>
      </w:r>
      <w:r>
        <w:rPr>
          <w:b w:val="0"/>
          <w:highlight w:val="yellow"/>
        </w:rPr>
        <w:t>[State dated facts within the petitioner's control, for example: the petitioner received the notice on [date]; engaged a representative on [date]; prepared the petition on [date]; delivered it to [carrier or post office] on [date]; checked DAWSON for confirmation on [date]; called the Court's clerk on [date] when no confirmation arrived. Avoid conclusions such as 'petitioner acted diligently' without the dates.]</w:t>
      </w:r>
    </w:p>
    <w:p>
      <w:pPr>
        <w:pStyle w:val="Heading3"/>
      </w:pPr>
      <w:r>
        <w:t>5. The extraordinary circumstance</w:t>
      </w:r>
    </w:p>
    <w:p>
      <w:r>
        <w:rPr>
          <w:b w:val="0"/>
        </w:rPr>
        <w:t xml:space="preserve">The following circumstance, which was beyond petitioner’s control, prevented filing within the period: </w:t>
      </w:r>
      <w:r>
        <w:rPr>
          <w:b w:val="0"/>
          <w:highlight w:val="yellow"/>
        </w:rPr>
        <w:t>[Describe with dates and specifics, for example: petitioner was hospitalized from [date] to [date] (records attached); the notice was mailed to [address] after the IRS had been notified of the new address on Form 8822 filed [date]; the DAWSON filing attempt on [date] at [time] failed for reasons recorded in the attached error message and the Court's system notice; the post office returned the properly addressed envelope on [date] for reasons noted on the cover. Do not rely on confusion about the law, pro se status, a representative's calendaring error, or a short miss on its own.]</w:t>
      </w:r>
    </w:p>
    <w:p>
      <w:r>
        <w:rPr>
          <w:b w:val="0"/>
        </w:rPr>
        <w:t xml:space="preserve">Petitioner filed the petition </w:t>
      </w:r>
      <w:r>
        <w:rPr>
          <w:b w:val="0"/>
          <w:highlight w:val="yellow"/>
        </w:rPr>
        <w:t>[on [date], the first business day after the circumstance ended / within [N] days after the circumstance ended]</w:t>
      </w:r>
      <w:r>
        <w:rPr>
          <w:b w:val="0"/>
        </w:rPr>
        <w:t>.</w:t>
      </w:r>
    </w:p>
    <w:p>
      <w:pPr>
        <w:pStyle w:val="Heading3"/>
      </w:pPr>
      <w:r>
        <w:t>6. Documents attached</w:t>
      </w:r>
    </w:p>
    <w:p>
      <w:pPr>
        <w:pStyle w:val="ListBullet"/>
      </w:pPr>
      <w:r>
        <w:rPr>
          <w:b w:val="0"/>
        </w:rPr>
        <w:t>Exhibit 1: envelope, certified or registered mail receipt, private delivery service record, or DAWSON confirmation or error message.</w:t>
      </w:r>
    </w:p>
    <w:p>
      <w:pPr>
        <w:pStyle w:val="ListBullet"/>
      </w:pPr>
      <w:r>
        <w:rPr>
          <w:b w:val="0"/>
        </w:rPr>
        <w:t xml:space="preserve">Exhibit 2: </w:t>
      </w:r>
      <w:r>
        <w:rPr>
          <w:b w:val="0"/>
          <w:highlight w:val="yellow"/>
        </w:rPr>
        <w:t>[USPS tracking history / proof of the date the notice was actually received]</w:t>
      </w:r>
      <w:r>
        <w:rPr>
          <w:b w:val="0"/>
        </w:rPr>
        <w:t>.</w:t>
      </w:r>
    </w:p>
    <w:p>
      <w:pPr>
        <w:pStyle w:val="ListBullet"/>
      </w:pPr>
      <w:r>
        <w:rPr>
          <w:b w:val="0"/>
        </w:rPr>
        <w:t xml:space="preserve">Exhibit 3: </w:t>
      </w:r>
      <w:r>
        <w:rPr>
          <w:b w:val="0"/>
          <w:highlight w:val="yellow"/>
        </w:rPr>
        <w:t>[Medical records, Form 8822 and proof of mailing, correspondence with the IRS or the Court, declarations of witnesses]</w:t>
      </w:r>
      <w:r>
        <w:rPr>
          <w:b w:val="0"/>
        </w:rPr>
        <w:t>.</w:t>
      </w:r>
    </w:p>
    <w:p>
      <w:pPr>
        <w:pStyle w:val="ListBullet"/>
      </w:pPr>
      <w:r>
        <w:rPr>
          <w:b w:val="0"/>
        </w:rPr>
        <w:t>Exhibit 4: a declaration of petitioner under penalties of perjury stating the facts in sections 2, 4 and 5.</w:t>
      </w:r>
    </w:p>
    <w:p>
      <w:pPr>
        <w:pStyle w:val="Heading3"/>
      </w:pPr>
      <w:r>
        <w:t>7. Request</w:t>
      </w:r>
    </w:p>
    <w:p>
      <w:r>
        <w:rPr>
          <w:b w:val="0"/>
        </w:rPr>
        <w:t xml:space="preserve">Petitioner asks the Court to find that the period for filing the petition was equitably tolled from </w:t>
      </w:r>
      <w:r>
        <w:rPr>
          <w:b w:val="0"/>
          <w:highlight w:val="yellow"/>
        </w:rPr>
        <w:t>[Date]</w:t>
      </w:r>
      <w:r>
        <w:rPr>
          <w:b w:val="0"/>
        </w:rPr>
        <w:t xml:space="preserve"> to </w:t>
      </w:r>
      <w:r>
        <w:rPr>
          <w:b w:val="0"/>
          <w:highlight w:val="yellow"/>
        </w:rPr>
        <w:t>[Date]</w:t>
      </w:r>
      <w:r>
        <w:rPr>
          <w:b w:val="0"/>
        </w:rPr>
        <w:t xml:space="preserve">, to treat the petition as timely filed, </w:t>
      </w:r>
      <w:r>
        <w:rPr>
          <w:b w:val="0"/>
          <w:highlight w:val="yellow"/>
        </w:rPr>
        <w:t>[and to deny Respondent's Motion to Dismiss for Lack of Jurisdiction]</w:t>
      </w:r>
      <w:r>
        <w:rPr>
          <w:b w:val="0"/>
        </w:rPr>
        <w:t>. If the Court requires an evidentiary hearing on the tolling facts, petitioner requests one.</w:t>
      </w:r>
    </w:p>
    <w:p>
      <w:r>
        <w:rPr>
          <w:b w:val="0"/>
        </w:rPr>
        <w:t xml:space="preserve">Dated: </w:t>
      </w:r>
      <w:r>
        <w:rPr>
          <w:b w:val="0"/>
          <w:highlight w:val="yellow"/>
        </w:rPr>
        <w:t>[Date]</w:t>
      </w:r>
    </w:p>
    <w:p>
      <w:r>
        <w:rPr>
          <w:b w:val="0"/>
          <w:highlight w:val="yellow"/>
        </w:rPr>
        <w:t>[Signature of petitioner or counsel]</w:t>
      </w:r>
      <w:r>
        <w:rPr>
          <w:b w:val="0"/>
        </w:rPr>
        <w:br/>
      </w:r>
      <w:r>
        <w:rPr>
          <w:b w:val="0"/>
          <w:highlight w:val="yellow"/>
        </w:rPr>
        <w:t>[Name, mailing address, email, telephone]</w:t>
      </w:r>
      <w:r>
        <w:rPr>
          <w:b w:val="0"/>
        </w:rPr>
        <w:br/>
        <w:t xml:space="preserve">Tax Court Bar No. </w:t>
      </w:r>
      <w:r>
        <w:rPr>
          <w:b w:val="0"/>
          <w:highlight w:val="yellow"/>
        </w:rPr>
        <w:t>[Number, if counsel]</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