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MEMORANDUM</w:t>
      </w:r>
    </w:p>
    <w:p>
      <w:r>
        <w:rPr>
          <w:b w:val="0"/>
        </w:rPr>
        <w:t xml:space="preserve">Date: </w:t>
      </w:r>
      <w:r>
        <w:rPr>
          <w:b w:val="0"/>
          <w:highlight w:val="yellow"/>
        </w:rPr>
        <w:t>[Date]</w:t>
      </w:r>
      <w:r>
        <w:rPr>
          <w:b w:val="0"/>
        </w:rPr>
        <w:br/>
        <w:t xml:space="preserve">To: </w:t>
      </w:r>
      <w:r>
        <w:rPr>
          <w:b w:val="0"/>
          <w:highlight w:val="yellow"/>
        </w:rPr>
        <w:t>[Group manager (SB/SE) / Case manager and issue manager (LB&amp;I)]</w:t>
      </w:r>
      <w:r>
        <w:rPr>
          <w:b w:val="0"/>
        </w:rPr>
        <w:t xml:space="preserve">, </w:t>
      </w:r>
      <w:r>
        <w:rPr>
          <w:b w:val="0"/>
          <w:highlight w:val="yellow"/>
        </w:rPr>
        <w:t>[Group or team]</w:t>
      </w:r>
      <w:r>
        <w:rPr>
          <w:b w:val="0"/>
        </w:rPr>
        <w:br/>
        <w:t xml:space="preserve">From: </w:t>
      </w:r>
      <w:r>
        <w:rPr>
          <w:b w:val="0"/>
          <w:highlight w:val="yellow"/>
        </w:rPr>
        <w:t>[Representative name, firm]</w:t>
      </w:r>
      <w:r>
        <w:rPr>
          <w:b w:val="0"/>
        </w:rPr>
        <w:t xml:space="preserve">, for </w:t>
      </w:r>
      <w:r>
        <w:rPr>
          <w:b w:val="0"/>
          <w:highlight w:val="yellow"/>
        </w:rPr>
        <w:t>[Taxpayer name]</w:t>
      </w:r>
      <w:r>
        <w:rPr>
          <w:b w:val="0"/>
        </w:rPr>
        <w:br/>
        <w:t xml:space="preserve">Subject: Application for Fast Track Settlement, Form 14017, </w:t>
      </w:r>
      <w:r>
        <w:rPr>
          <w:b w:val="0"/>
          <w:highlight w:val="yellow"/>
        </w:rPr>
        <w:t>[Form 1040 / 1120 / 1065 / 941 / CVL PEN]</w:t>
      </w:r>
      <w:r>
        <w:rPr>
          <w:b w:val="0"/>
        </w:rPr>
        <w:t xml:space="preserve">, tax year(s) </w:t>
      </w:r>
      <w:r>
        <w:rPr>
          <w:b w:val="0"/>
          <w:highlight w:val="yellow"/>
        </w:rPr>
        <w:t>[Years]</w:t>
      </w:r>
      <w:r>
        <w:rPr>
          <w:b w:val="0"/>
        </w:rPr>
        <w:br/>
        <w:t xml:space="preserve">Taxpayer TIN: </w:t>
      </w:r>
      <w:r>
        <w:rPr>
          <w:b w:val="0"/>
          <w:highlight w:val="yellow"/>
        </w:rPr>
        <w:t>[SSN or EIN]</w:t>
      </w:r>
      <w:r>
        <w:rPr>
          <w:b w:val="0"/>
        </w:rPr>
        <w:t xml:space="preserve">   Program: </w:t>
      </w:r>
      <w:r>
        <w:rPr>
          <w:b w:val="0"/>
          <w:highlight w:val="yellow"/>
        </w:rPr>
        <w:t>[SB/SE FTS (Rev. Proc. 2017-25) / LB&amp;I FTS (Rev. Proc. 2003-40)]</w:t>
      </w:r>
    </w:p>
    <w:p>
      <w:pPr>
        <w:pStyle w:val="Heading3"/>
      </w:pPr>
      <w:r>
        <w:t>1. Request</w:t>
      </w:r>
    </w:p>
    <w:p>
      <w:r>
        <w:rPr>
          <w:b w:val="0"/>
        </w:rPr>
        <w:t xml:space="preserve">The taxpayer requests Fast Track Settlement of the unagreed issues listed in section 3 and submits the enclosed Form 14017 signed by the taxpayer and the undersigned representative. This request is made on </w:t>
      </w:r>
      <w:r>
        <w:rPr>
          <w:b w:val="0"/>
          <w:highlight w:val="yellow"/>
        </w:rPr>
        <w:t>[Date]</w:t>
      </w:r>
      <w:r>
        <w:rPr>
          <w:b w:val="0"/>
        </w:rPr>
        <w:t xml:space="preserve">, within the pilot period of Announcement 2025-6 (requests made on or after January 15, 2025 and before January 15, 2027). The taxpayer asks that the group manager sign Form 14017 and forward the package to the Appeals team manager. </w:t>
      </w:r>
      <w:r>
        <w:rPr>
          <w:b w:val="0"/>
          <w:highlight w:val="yellow"/>
        </w:rPr>
        <w:t>[LB&amp;I: The taxpayer asks that the case manager and the appropriate territory manager sign Form 14017 and email the package to the Appeals FTS mailbox with a copy to the LB&amp;I FTS coordinator.]</w:t>
      </w:r>
    </w:p>
    <w:p>
      <w:pPr>
        <w:pStyle w:val="Heading3"/>
      </w:pPr>
      <w:r>
        <w:t>2. Eligibility</w:t>
      </w:r>
    </w:p>
    <w:p>
      <w:pPr>
        <w:pStyle w:val="ListBullet"/>
      </w:pPr>
      <w:r>
        <w:rPr>
          <w:b w:val="0"/>
        </w:rPr>
        <w:t xml:space="preserve">The case is a </w:t>
      </w:r>
      <w:r>
        <w:rPr>
          <w:b w:val="0"/>
          <w:highlight w:val="yellow"/>
        </w:rPr>
        <w:t>[field / office]</w:t>
      </w:r>
      <w:r>
        <w:rPr>
          <w:b w:val="0"/>
        </w:rPr>
        <w:t xml:space="preserve"> examination under </w:t>
      </w:r>
      <w:r>
        <w:rPr>
          <w:b w:val="0"/>
          <w:highlight w:val="yellow"/>
        </w:rPr>
        <w:t>[SB/SE / LB&amp;I]</w:t>
      </w:r>
      <w:r>
        <w:rPr>
          <w:b w:val="0"/>
        </w:rPr>
        <w:t xml:space="preserve"> jurisdiction, non-docketed, and no 30-day letter has been issued. </w:t>
      </w:r>
      <w:r>
        <w:rPr>
          <w:b w:val="0"/>
          <w:highlight w:val="yellow"/>
        </w:rPr>
        <w:t>[If a 30-day letter was issued (SB/SE): A 30-day letter was issued on [date]; the case has not left the group and IRM 4.10.7.5.6.2 directs that the application still be forwarded to Appeals.]</w:t>
      </w:r>
    </w:p>
    <w:p>
      <w:pPr>
        <w:pStyle w:val="ListBullet"/>
      </w:pPr>
      <w:r>
        <w:rPr>
          <w:b w:val="0"/>
        </w:rPr>
        <w:t xml:space="preserve">Each issue is fully developed: all information requested by the examiner has been provided, the examiner has issued </w:t>
      </w:r>
      <w:r>
        <w:rPr>
          <w:b w:val="0"/>
          <w:highlight w:val="yellow"/>
        </w:rPr>
        <w:t>[Form 5701 / Form 4549 and Form 886-A / the lead sheets]</w:t>
      </w:r>
      <w:r>
        <w:rPr>
          <w:b w:val="0"/>
        </w:rPr>
        <w:t xml:space="preserve"> stating the government’s position, and the taxpayer has stated its position in writing (enclosed). </w:t>
      </w:r>
      <w:r>
        <w:rPr>
          <w:b w:val="0"/>
          <w:highlight w:val="yellow"/>
        </w:rPr>
        <w:t>[All referrals, technical advice, Counsel advice and valuation reports have been received / No referral or report is outstanding.]</w:t>
      </w:r>
    </w:p>
    <w:p>
      <w:pPr>
        <w:pStyle w:val="ListBullet"/>
      </w:pPr>
      <w:r>
        <w:rPr>
          <w:b w:val="0"/>
        </w:rPr>
        <w:t xml:space="preserve">The issues remain unresolved after discussion with the examiner on </w:t>
      </w:r>
      <w:r>
        <w:rPr>
          <w:b w:val="0"/>
          <w:highlight w:val="yellow"/>
        </w:rPr>
        <w:t>[Dates]</w:t>
      </w:r>
      <w:r>
        <w:rPr>
          <w:b w:val="0"/>
        </w:rPr>
        <w:t xml:space="preserve">. </w:t>
      </w:r>
      <w:r>
        <w:rPr>
          <w:b w:val="0"/>
          <w:highlight w:val="yellow"/>
        </w:rPr>
        <w:t>[SB/SE: A conference with the group manager was held on [date]. OR: No pre-FTS managerial conference has been held; under Announcement 2025-6 the pre-FTS managerial conference requirement for SB/SE taxpayers is removed for the pilot period. The taxpayer remains willing to meet with the group manager.]</w:t>
      </w:r>
    </w:p>
    <w:p>
      <w:pPr>
        <w:pStyle w:val="ListBullet"/>
      </w:pPr>
      <w:r>
        <w:rPr>
          <w:b w:val="0"/>
        </w:rPr>
        <w:t xml:space="preserve">The taxpayer cooperated throughout the examination, responded to each information document request by </w:t>
      </w:r>
      <w:r>
        <w:rPr>
          <w:b w:val="0"/>
          <w:highlight w:val="yellow"/>
        </w:rPr>
        <w:t>[dates]</w:t>
      </w:r>
      <w:r>
        <w:rPr>
          <w:b w:val="0"/>
        </w:rPr>
        <w:t>, and did not delay the audit.</w:t>
      </w:r>
    </w:p>
    <w:p>
      <w:pPr>
        <w:pStyle w:val="ListBullet"/>
      </w:pPr>
      <w:r>
        <w:rPr>
          <w:b w:val="0"/>
        </w:rPr>
        <w:t xml:space="preserve">None of the exclusions in </w:t>
      </w:r>
      <w:r>
        <w:rPr>
          <w:b w:val="0"/>
          <w:highlight w:val="yellow"/>
        </w:rPr>
        <w:t>[Rev. Proc. 2017-25, section 4.02 / Rev. Proc. 2003-40, section 3.03]</w:t>
      </w:r>
      <w:r>
        <w:rPr>
          <w:b w:val="0"/>
        </w:rPr>
        <w:t xml:space="preserve"> applies: the case is not a correspondence examination worked solely in a campus, not a TEFRA partnership case, not a collection case; no issue is designated for litigation, docketed, precluded by a closing agreement, res judicata or controlling Supreme Court precedent, frivolous, a whipsaw issue, or the subject of a competent authority request. </w:t>
      </w:r>
      <w:r>
        <w:rPr>
          <w:b w:val="0"/>
          <w:highlight w:val="yellow"/>
        </w:rPr>
        <w:t>[Joint return: Both spouses have signed Form 14017 and will participate in the same session.]</w:t>
      </w:r>
    </w:p>
    <w:p>
      <w:pPr>
        <w:pStyle w:val="ListBullet"/>
      </w:pPr>
      <w:r>
        <w:rPr>
          <w:b w:val="0"/>
          <w:highlight w:val="yellow"/>
        </w:rPr>
        <w:t>[If one issue may be ineligible: Issue [number] may be ineligible because [reason]. Under Announcement 2025-6, FTS can be applied to one or more issues in a case, and the taxpayer requests FTS for the remaining issues.]</w:t>
      </w:r>
    </w:p>
    <w:p>
      <w:pPr>
        <w:pStyle w:val="ListBullet"/>
      </w:pPr>
      <w:r>
        <w:rPr>
          <w:b w:val="0"/>
        </w:rPr>
        <w:t xml:space="preserve">Potential Joint Committee case: </w:t>
      </w:r>
      <w:r>
        <w:rPr>
          <w:b w:val="0"/>
          <w:highlight w:val="yellow"/>
        </w:rPr>
        <w:t>[No / Yes, refund in excess of $2 million]</w:t>
      </w:r>
      <w:r>
        <w:rPr>
          <w:b w:val="0"/>
        </w:rPr>
        <w:t xml:space="preserve">. Listed transaction: </w:t>
      </w:r>
      <w:r>
        <w:rPr>
          <w:b w:val="0"/>
          <w:highlight w:val="yellow"/>
        </w:rPr>
        <w:t>[No / Yes]</w:t>
      </w:r>
      <w:r>
        <w:rPr>
          <w:b w:val="0"/>
        </w:rPr>
        <w:t>.</w:t>
      </w:r>
    </w:p>
    <w:p>
      <w:pPr>
        <w:pStyle w:val="Heading3"/>
      </w:pPr>
      <w:r>
        <w:t>3. Issues submitted</w:t>
      </w:r>
    </w:p>
    <w:p>
      <w:r>
        <w:rPr>
          <w:b/>
        </w:rPr>
        <w:t>Issue 1: [Issue as named on Form 5701 or the report].</w:t>
      </w:r>
      <w:r>
        <w:rPr>
          <w:b w:val="0"/>
        </w:rPr>
        <w:t xml:space="preserve"> Proposed adjustment: </w:t>
      </w:r>
      <w:r>
        <w:rPr>
          <w:b w:val="0"/>
          <w:highlight w:val="yellow"/>
        </w:rPr>
        <w:t>[Amount]</w:t>
      </w:r>
      <w:r>
        <w:rPr>
          <w:b w:val="0"/>
        </w:rPr>
        <w:t xml:space="preserve"> for </w:t>
      </w:r>
      <w:r>
        <w:rPr>
          <w:b w:val="0"/>
          <w:highlight w:val="yellow"/>
        </w:rPr>
        <w:t>[Year]</w:t>
      </w:r>
      <w:r>
        <w:rPr>
          <w:b w:val="0"/>
        </w:rPr>
        <w:t xml:space="preserve">. Examiner’s position: </w:t>
      </w:r>
      <w:r>
        <w:rPr>
          <w:b w:val="0"/>
          <w:highlight w:val="yellow"/>
        </w:rPr>
        <w:t>[Form 5701 no. [number] dated [date] / Form 886-A pages [numbers] / lead sheet [number]]</w:t>
      </w:r>
      <w:r>
        <w:rPr>
          <w:b w:val="0"/>
        </w:rPr>
        <w:t xml:space="preserve"> (Exhibit 1-A). Taxpayer’s written response: </w:t>
      </w:r>
      <w:r>
        <w:rPr>
          <w:b w:val="0"/>
          <w:highlight w:val="yellow"/>
        </w:rPr>
        <w:t>[Letter dated [date]]</w:t>
      </w:r>
      <w:r>
        <w:rPr>
          <w:b w:val="0"/>
        </w:rPr>
        <w:t xml:space="preserve"> (Exhibit 1-B). Nature of the dispute: </w:t>
      </w:r>
      <w:r>
        <w:rPr>
          <w:b w:val="0"/>
          <w:highlight w:val="yellow"/>
        </w:rPr>
        <w:t>[factual / legal / hazards of litigation]</w:t>
      </w:r>
      <w:r>
        <w:rPr>
          <w:b w:val="0"/>
        </w:rPr>
        <w:t xml:space="preserve">. </w:t>
      </w:r>
      <w:r>
        <w:rPr>
          <w:b w:val="0"/>
          <w:highlight w:val="yellow"/>
        </w:rPr>
        <w:t>[One or two sentences on the point in dispute, without argument.]</w:t>
      </w:r>
    </w:p>
    <w:p>
      <w:r>
        <w:rPr>
          <w:b/>
        </w:rPr>
        <w:t>Issue 2: [Issue].</w:t>
      </w:r>
      <w:r>
        <w:rPr>
          <w:b w:val="0"/>
        </w:rPr>
        <w:t xml:space="preserve"> Proposed adjustment: </w:t>
      </w:r>
      <w:r>
        <w:rPr>
          <w:b w:val="0"/>
          <w:highlight w:val="yellow"/>
        </w:rPr>
        <w:t>[Amount]</w:t>
      </w:r>
      <w:r>
        <w:rPr>
          <w:b w:val="0"/>
        </w:rPr>
        <w:t xml:space="preserve">. Examiner’s position: </w:t>
      </w:r>
      <w:r>
        <w:rPr>
          <w:b w:val="0"/>
          <w:highlight w:val="yellow"/>
        </w:rPr>
        <w:t>[Reference]</w:t>
      </w:r>
      <w:r>
        <w:rPr>
          <w:b w:val="0"/>
        </w:rPr>
        <w:t xml:space="preserve"> (Exhibit 2-A). Taxpayer’s written response: </w:t>
      </w:r>
      <w:r>
        <w:rPr>
          <w:b w:val="0"/>
          <w:highlight w:val="yellow"/>
        </w:rPr>
        <w:t>[Reference]</w:t>
      </w:r>
      <w:r>
        <w:rPr>
          <w:b w:val="0"/>
        </w:rPr>
        <w:t xml:space="preserve"> (Exhibit 2-B). Nature of the dispute: </w:t>
      </w:r>
      <w:r>
        <w:rPr>
          <w:b w:val="0"/>
          <w:highlight w:val="yellow"/>
        </w:rPr>
        <w:t>[Type]</w:t>
      </w:r>
      <w:r>
        <w:rPr>
          <w:b w:val="0"/>
        </w:rPr>
        <w:t>.</w:t>
      </w:r>
    </w:p>
    <w:p>
      <w:r>
        <w:rPr>
          <w:b w:val="0"/>
          <w:highlight w:val="yellow"/>
        </w:rPr>
        <w:t>[Repeat for each issue. Penalties proposed on these adjustments: [list, with the Form 14017 marked CVL PEN for separately assessed civil penalty cases].]</w:t>
      </w:r>
    </w:p>
    <w:p>
      <w:pPr>
        <w:pStyle w:val="Heading3"/>
      </w:pPr>
      <w:r>
        <w:t>4. Participants and logistics</w:t>
      </w:r>
    </w:p>
    <w:p>
      <w:r>
        <w:rPr>
          <w:b w:val="0"/>
        </w:rPr>
        <w:t xml:space="preserve">Taxpayer participants with decision-making authority: </w:t>
      </w:r>
      <w:r>
        <w:rPr>
          <w:b w:val="0"/>
          <w:highlight w:val="yellow"/>
        </w:rPr>
        <w:t>[Names and titles]</w:t>
      </w:r>
      <w:r>
        <w:rPr>
          <w:b w:val="0"/>
        </w:rPr>
        <w:t xml:space="preserve">. Representative: </w:t>
      </w:r>
      <w:r>
        <w:rPr>
          <w:b w:val="0"/>
          <w:highlight w:val="yellow"/>
        </w:rPr>
        <w:t>[Name, credential, CAF number]</w:t>
      </w:r>
      <w:r>
        <w:rPr>
          <w:b w:val="0"/>
        </w:rPr>
        <w:t xml:space="preserve"> under the enclosed Form 2848, which authorizes the representative to sign Form 14017 and to consent under IRC 6103(c) to disclosure to the participants named on the form. Other participants: </w:t>
      </w:r>
      <w:r>
        <w:rPr>
          <w:b w:val="0"/>
          <w:highlight w:val="yellow"/>
        </w:rPr>
        <w:t>[Names, positions, e.g. appraiser, controller]</w:t>
      </w:r>
      <w:r>
        <w:rPr>
          <w:b w:val="0"/>
        </w:rPr>
        <w:t xml:space="preserve">. Preferred conference site: </w:t>
      </w:r>
      <w:r>
        <w:rPr>
          <w:b w:val="0"/>
          <w:highlight w:val="yellow"/>
        </w:rPr>
        <w:t>[City / video]</w:t>
      </w:r>
      <w:r>
        <w:rPr>
          <w:b w:val="0"/>
        </w:rPr>
        <w:t xml:space="preserve">. Dates the taxpayer is available within the next </w:t>
      </w:r>
      <w:r>
        <w:rPr>
          <w:b w:val="0"/>
          <w:highlight w:val="yellow"/>
        </w:rPr>
        <w:t>[60 / 120]</w:t>
      </w:r>
      <w:r>
        <w:rPr>
          <w:b w:val="0"/>
        </w:rPr>
        <w:t xml:space="preserve"> days: </w:t>
      </w:r>
      <w:r>
        <w:rPr>
          <w:b w:val="0"/>
          <w:highlight w:val="yellow"/>
        </w:rPr>
        <w:t>[Dates]</w:t>
      </w:r>
      <w:r>
        <w:rPr>
          <w:b w:val="0"/>
        </w:rPr>
        <w:t>.</w:t>
      </w:r>
    </w:p>
    <w:p>
      <w:pPr>
        <w:pStyle w:val="Heading3"/>
      </w:pPr>
      <w:r>
        <w:t>5. Acknowledgments</w:t>
      </w:r>
    </w:p>
    <w:p>
      <w:r>
        <w:rPr>
          <w:b w:val="0"/>
        </w:rPr>
        <w:t xml:space="preserve">The taxpayer understands that the Appeals official acts as a mediator and not in the traditional Appeals settlement role, so the ex parte communication rules do not apply to communications in FTS; that any settlement is subject to the same procedures as an Appeals settlement; that a signed Form 14000 session report is not a final settlement and does not waive restrictions on assessment or extend or terminate any period of limitations; that issues not resolved in FTS retain regular Appeals rights; and that the decision not to accept the case is not subject to administrative appeal or judicial review. The assessment statute for each year expires on </w:t>
      </w:r>
      <w:r>
        <w:rPr>
          <w:b w:val="0"/>
          <w:highlight w:val="yellow"/>
        </w:rPr>
        <w:t>[Date(s)]</w:t>
      </w:r>
      <w:r>
        <w:rPr>
          <w:b w:val="0"/>
        </w:rPr>
        <w:t xml:space="preserve">; </w:t>
      </w:r>
      <w:r>
        <w:rPr>
          <w:b w:val="0"/>
          <w:highlight w:val="yellow"/>
        </w:rPr>
        <w:t>[a consent on Form 872 to [date] has been executed / the taxpayer will consider a consent if Appeals requires one]</w:t>
      </w:r>
      <w:r>
        <w:rPr>
          <w:b w:val="0"/>
        </w:rPr>
        <w:t>.</w:t>
      </w:r>
    </w:p>
    <w:p>
      <w:pPr>
        <w:pStyle w:val="Heading3"/>
      </w:pPr>
      <w:r>
        <w:t>6. Checklist of the package</w:t>
      </w:r>
    </w:p>
    <w:p>
      <w:pPr>
        <w:pStyle w:val="ListBullet"/>
      </w:pPr>
      <w:r>
        <w:rPr>
          <w:b w:val="0"/>
        </w:rPr>
        <w:t xml:space="preserve">Form 14017 (Rev. 3-2020), all blocks completed, signed and dated by the taxpayer </w:t>
      </w:r>
      <w:r>
        <w:rPr>
          <w:b w:val="0"/>
          <w:highlight w:val="yellow"/>
        </w:rPr>
        <w:t>[and spouse]</w:t>
      </w:r>
      <w:r>
        <w:rPr>
          <w:b w:val="0"/>
        </w:rPr>
        <w:t xml:space="preserve"> and the representative; group manager signature block left for the IRS </w:t>
      </w:r>
      <w:r>
        <w:rPr>
          <w:b w:val="0"/>
          <w:highlight w:val="yellow"/>
        </w:rPr>
        <w:t>[LB&amp;I: and the Approving Operating Division Official block for the territory manager]</w:t>
      </w:r>
      <w:r>
        <w:rPr>
          <w:b w:val="0"/>
        </w:rPr>
        <w:t>.</w:t>
      </w:r>
    </w:p>
    <w:p>
      <w:pPr>
        <w:pStyle w:val="ListBullet"/>
      </w:pPr>
      <w:r>
        <w:rPr>
          <w:b w:val="0"/>
        </w:rPr>
        <w:t>Separate Form 14017 for each related return and for any unagreed civil penalty case (SB/SE).</w:t>
      </w:r>
    </w:p>
    <w:p>
      <w:pPr>
        <w:pStyle w:val="ListBullet"/>
      </w:pPr>
      <w:r>
        <w:rPr>
          <w:b w:val="0"/>
        </w:rPr>
        <w:t>Exhibits 1-A, 2-A and so on: Form 5701 or report pages and workpapers stating the examiner’s position on each issue.</w:t>
      </w:r>
    </w:p>
    <w:p>
      <w:pPr>
        <w:pStyle w:val="ListBullet"/>
      </w:pPr>
      <w:r>
        <w:rPr>
          <w:b w:val="0"/>
        </w:rPr>
        <w:t>Exhibits 1-B, 2-B and so on: the taxpayer’s written response to each issue.</w:t>
      </w:r>
    </w:p>
    <w:p>
      <w:pPr>
        <w:pStyle w:val="ListBullet"/>
      </w:pPr>
      <w:r>
        <w:rPr>
          <w:b w:val="0"/>
        </w:rPr>
        <w:t>Form 2848 covering the years and authorizing the representative to sign Form 14017 and consent to disclosure.</w:t>
      </w:r>
    </w:p>
    <w:p>
      <w:pPr>
        <w:pStyle w:val="ListBullet"/>
      </w:pPr>
      <w:r>
        <w:rPr>
          <w:b w:val="0"/>
          <w:highlight w:val="yellow"/>
        </w:rPr>
        <w:t>[Copies of any executed Form 872 / valuation report / technical advice relied on]</w:t>
      </w:r>
      <w:r>
        <w:rPr>
          <w:b w:val="0"/>
        </w:rPr>
        <w:t>.</w:t>
      </w:r>
    </w:p>
    <w:p>
      <w:r>
        <w:rPr>
          <w:b w:val="0"/>
          <w:highlight w:val="yellow"/>
        </w:rPr>
        <w:t>[Representative signature]</w:t>
      </w:r>
      <w:r>
        <w:rPr>
          <w:b w:val="0"/>
        </w:rPr>
        <w:t xml:space="preserve">   </w:t>
      </w:r>
      <w:r>
        <w:rPr>
          <w:b w:val="0"/>
          <w:highlight w:val="yellow"/>
        </w:rPr>
        <w:t>[Date]</w:t>
      </w:r>
    </w:p>
    <w:p>
      <w:r>
        <w:rPr>
          <w:i/>
        </w:rPr>
        <w:t>Template from taxproc.com. General information, not legal or tax advice; adapt to the client's facts and current IRS guidance.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